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8D0E9" w14:textId="501A878C" w:rsidR="00665C9A" w:rsidRPr="00D45709" w:rsidRDefault="00D45709" w:rsidP="00665C9A">
      <w:pPr>
        <w:pStyle w:val="CRCoverPage"/>
        <w:tabs>
          <w:tab w:val="left" w:pos="1701"/>
        </w:tabs>
        <w:outlineLvl w:val="0"/>
        <w:rPr>
          <w:rFonts w:eastAsiaTheme="minorEastAsia" w:cs="Arial"/>
          <w:b/>
          <w:noProof/>
          <w:sz w:val="22"/>
          <w:lang w:val="en-US"/>
        </w:rPr>
      </w:pPr>
      <w:r>
        <w:rPr>
          <w:rFonts w:eastAsiaTheme="minorEastAsia" w:cs="Arial"/>
          <w:b/>
          <w:noProof/>
          <w:sz w:val="22"/>
          <w:lang w:val="en-US"/>
        </w:rPr>
        <w:t>3GPP TSG RAN WG1 Meeting #95</w:t>
      </w:r>
      <w:r w:rsidR="00665C9A" w:rsidRPr="00665C9A">
        <w:rPr>
          <w:rFonts w:eastAsiaTheme="minorEastAsia" w:cs="Arial"/>
          <w:b/>
          <w:noProof/>
          <w:sz w:val="22"/>
          <w:lang w:val="en-US"/>
        </w:rPr>
        <w:t xml:space="preserve"> </w:t>
      </w:r>
      <w:r w:rsidR="00665C9A" w:rsidRPr="00665C9A">
        <w:rPr>
          <w:rFonts w:eastAsiaTheme="minorEastAsia" w:cs="Arial"/>
          <w:b/>
          <w:noProof/>
          <w:sz w:val="22"/>
          <w:lang w:val="en-US"/>
        </w:rPr>
        <w:tab/>
      </w:r>
      <w:r w:rsidR="00665C9A" w:rsidRPr="00665C9A">
        <w:rPr>
          <w:rFonts w:eastAsiaTheme="minorEastAsia" w:cs="Arial"/>
          <w:b/>
          <w:noProof/>
          <w:sz w:val="22"/>
          <w:lang w:val="en-US"/>
        </w:rPr>
        <w:tab/>
      </w:r>
      <w:r w:rsidR="00665C9A" w:rsidRP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1A1996" w:rsidRPr="001A1996">
        <w:rPr>
          <w:rFonts w:eastAsiaTheme="minorEastAsia" w:cs="Arial"/>
          <w:b/>
          <w:noProof/>
          <w:sz w:val="22"/>
          <w:lang w:val="en-US"/>
        </w:rPr>
        <w:t>R1-1813096</w:t>
      </w:r>
    </w:p>
    <w:p w14:paraId="3F6AAF48" w14:textId="131E5787" w:rsidR="00665C9A" w:rsidRDefault="00D45709" w:rsidP="00665C9A">
      <w:pPr>
        <w:pStyle w:val="CRCoverPage"/>
        <w:tabs>
          <w:tab w:val="left" w:pos="1701"/>
        </w:tabs>
        <w:outlineLvl w:val="0"/>
        <w:rPr>
          <w:rFonts w:eastAsiaTheme="minorEastAsia" w:cs="Arial"/>
          <w:b/>
          <w:noProof/>
          <w:sz w:val="22"/>
          <w:lang w:val="en-US"/>
        </w:rPr>
      </w:pPr>
      <w:r w:rsidRPr="00D45709">
        <w:rPr>
          <w:rFonts w:eastAsiaTheme="minorEastAsia" w:cs="Arial"/>
          <w:b/>
          <w:noProof/>
          <w:sz w:val="22"/>
          <w:lang w:val="en-US"/>
        </w:rPr>
        <w:t>Spokane, USA, November 12th – 16th, 2018</w:t>
      </w:r>
    </w:p>
    <w:p w14:paraId="435A17AC" w14:textId="48640042" w:rsidR="00AF7772" w:rsidRPr="00FD27FA" w:rsidRDefault="00AF7772" w:rsidP="00665C9A">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45B0B21"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A15E75">
        <w:rPr>
          <w:rFonts w:cs="Arial"/>
          <w:b/>
          <w:lang w:eastAsia="ko-KR"/>
        </w:rPr>
        <w:t>Discussion on NR V2X sidelink synchronization</w:t>
      </w:r>
    </w:p>
    <w:p w14:paraId="3EA48139" w14:textId="36429AD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FC4E8D">
        <w:rPr>
          <w:rFonts w:cs="Arial"/>
          <w:b/>
          <w:lang w:eastAsia="ko-KR"/>
        </w:rPr>
        <w:t>4.1.3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554725C7" w14:textId="62BF0951" w:rsidR="00277863" w:rsidRDefault="00D45709" w:rsidP="00277863">
      <w:pPr>
        <w:spacing w:after="180"/>
        <w:rPr>
          <w:szCs w:val="22"/>
          <w:lang w:eastAsia="ko-KR"/>
        </w:rPr>
      </w:pPr>
      <w:r>
        <w:rPr>
          <w:szCs w:val="22"/>
          <w:lang w:eastAsia="ko-KR"/>
        </w:rPr>
        <w:t>The following agreements on the NR V2X sidelink synchronization were made in the 3GPP RAN1#94bis meeting</w:t>
      </w:r>
      <w:r w:rsidR="00391EF4">
        <w:rPr>
          <w:rFonts w:hint="eastAsia"/>
          <w:szCs w:val="22"/>
          <w:lang w:eastAsia="ko-KR"/>
        </w:rPr>
        <w:t xml:space="preserve"> </w:t>
      </w:r>
      <w:r w:rsidR="00391EF4">
        <w:rPr>
          <w:szCs w:val="22"/>
          <w:lang w:eastAsia="ko-KR"/>
        </w:rPr>
        <w:fldChar w:fldCharType="begin"/>
      </w:r>
      <w:r w:rsidR="00391EF4">
        <w:rPr>
          <w:szCs w:val="22"/>
          <w:lang w:eastAsia="ko-KR"/>
        </w:rPr>
        <w:instrText xml:space="preserve"> </w:instrText>
      </w:r>
      <w:r w:rsidR="00391EF4">
        <w:rPr>
          <w:rFonts w:hint="eastAsia"/>
          <w:szCs w:val="22"/>
          <w:lang w:eastAsia="ko-KR"/>
        </w:rPr>
        <w:instrText>REF _Ref528616836 \n \h</w:instrText>
      </w:r>
      <w:r w:rsidR="00391EF4">
        <w:rPr>
          <w:szCs w:val="22"/>
          <w:lang w:eastAsia="ko-KR"/>
        </w:rPr>
        <w:instrText xml:space="preserve"> </w:instrText>
      </w:r>
      <w:r w:rsidR="00391EF4">
        <w:rPr>
          <w:szCs w:val="22"/>
          <w:lang w:eastAsia="ko-KR"/>
        </w:rPr>
      </w:r>
      <w:r w:rsidR="00391EF4">
        <w:rPr>
          <w:szCs w:val="22"/>
          <w:lang w:eastAsia="ko-KR"/>
        </w:rPr>
        <w:fldChar w:fldCharType="separate"/>
      </w:r>
      <w:r w:rsidR="00391EF4">
        <w:rPr>
          <w:szCs w:val="22"/>
          <w:lang w:eastAsia="ko-KR"/>
        </w:rPr>
        <w:t>[1]</w:t>
      </w:r>
      <w:r w:rsidR="00391EF4">
        <w:rPr>
          <w:szCs w:val="22"/>
          <w:lang w:eastAsia="ko-KR"/>
        </w:rPr>
        <w:fldChar w:fldCharType="end"/>
      </w:r>
      <w:r>
        <w:rPr>
          <w:szCs w:val="22"/>
          <w:lang w:eastAsia="ko-KR"/>
        </w:rPr>
        <w:t>:</w:t>
      </w:r>
    </w:p>
    <w:p w14:paraId="48B705FE" w14:textId="77777777" w:rsidR="00D45709" w:rsidRPr="00B817DB" w:rsidRDefault="00D45709" w:rsidP="00D45709">
      <w:pPr>
        <w:ind w:left="720" w:hanging="720"/>
        <w:rPr>
          <w:b/>
        </w:rPr>
      </w:pPr>
      <w:r w:rsidRPr="00B817DB">
        <w:rPr>
          <w:highlight w:val="green"/>
        </w:rPr>
        <w:t>Agreements</w:t>
      </w:r>
      <w:r w:rsidRPr="00B817DB">
        <w:rPr>
          <w:b/>
        </w:rPr>
        <w:t>:</w:t>
      </w:r>
    </w:p>
    <w:p w14:paraId="306DBB6A" w14:textId="77777777"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textAlignment w:val="baseline"/>
      </w:pPr>
      <w:r w:rsidRPr="00B817DB">
        <w:t>The design of NR V2X sidelink synchronization signals and PSBCH uses NR SSB structure as the starting point with the following properties,</w:t>
      </w:r>
    </w:p>
    <w:p w14:paraId="7CBB98B0"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textAlignment w:val="baseline"/>
      </w:pPr>
      <w:r w:rsidRPr="00B817DB">
        <w:t>NR V2X synchronization signals include sidelink PSS (S-PSS) and sidelink SSS (S-SSS) and are structured with PSBCH in a block format (S-SSB)</w:t>
      </w:r>
    </w:p>
    <w:p w14:paraId="43DD8735" w14:textId="77777777" w:rsidR="00D45709" w:rsidRPr="00B817DB" w:rsidRDefault="00D45709" w:rsidP="00D45709">
      <w:pPr>
        <w:ind w:left="720" w:hanging="720"/>
      </w:pPr>
      <w:r w:rsidRPr="00B817DB">
        <w:rPr>
          <w:highlight w:val="green"/>
        </w:rPr>
        <w:t>Agreements</w:t>
      </w:r>
      <w:r w:rsidRPr="00B817DB">
        <w:t>:</w:t>
      </w:r>
    </w:p>
    <w:p w14:paraId="2498CC0E" w14:textId="77777777"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jc w:val="left"/>
        <w:textAlignment w:val="baseline"/>
      </w:pPr>
      <w:r w:rsidRPr="00B817DB">
        <w:t>Periodic transmission of S-SSB in NR V2X  is supported</w:t>
      </w:r>
    </w:p>
    <w:p w14:paraId="14D8F9B9"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jc w:val="left"/>
        <w:textAlignment w:val="baseline"/>
      </w:pPr>
      <w:r w:rsidRPr="00B817DB">
        <w:t>FFS:  whether one/more S-SSB is transmitted in a period</w:t>
      </w:r>
    </w:p>
    <w:p w14:paraId="37B81B29" w14:textId="71C65796"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NR </w:t>
      </w:r>
      <w:r w:rsidR="00DC5C12">
        <w:rPr>
          <w:szCs w:val="22"/>
          <w:lang w:eastAsia="ko-KR"/>
        </w:rPr>
        <w:t>V2X sidelink synchronization</w:t>
      </w:r>
      <w:r w:rsidR="00523F3C">
        <w:rPr>
          <w:szCs w:val="22"/>
          <w:lang w:eastAsia="ko-KR"/>
        </w:rPr>
        <w:t xml:space="preserve"> mechanism</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86096" w14:textId="4E811956" w:rsidR="00DA4774" w:rsidRDefault="008E5491" w:rsidP="00DA4774">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 xml:space="preserve">Sidelink SSB </w:t>
      </w:r>
      <w:r w:rsidR="00E41290">
        <w:rPr>
          <w:lang w:val="en-US" w:eastAsia="ko-KR"/>
        </w:rPr>
        <w:t>structure</w:t>
      </w:r>
    </w:p>
    <w:p w14:paraId="6E8EF345" w14:textId="7FF2128B" w:rsidR="00A41B7D" w:rsidRDefault="00A409EE" w:rsidP="00CE7ABF">
      <w:pPr>
        <w:spacing w:after="180" w:line="336" w:lineRule="auto"/>
        <w:rPr>
          <w:lang w:val="en-US" w:eastAsia="ko-KR"/>
        </w:rPr>
      </w:pPr>
      <w:r>
        <w:rPr>
          <w:lang w:val="en-US" w:eastAsia="ko-KR"/>
        </w:rPr>
        <w:t xml:space="preserve">For </w:t>
      </w:r>
      <w:r>
        <w:rPr>
          <w:rFonts w:hint="eastAsia"/>
          <w:lang w:val="en-US" w:eastAsia="ko-KR"/>
        </w:rPr>
        <w:t>N</w:t>
      </w:r>
      <w:r>
        <w:rPr>
          <w:lang w:val="en-US" w:eastAsia="ko-KR"/>
        </w:rPr>
        <w:t xml:space="preserve">R V2X study, it was agreed to employ mmWave frequency bands </w:t>
      </w:r>
      <w:r w:rsidR="00391EF4">
        <w:rPr>
          <w:rFonts w:hint="eastAsia"/>
          <w:lang w:val="en-US" w:eastAsia="ko-KR"/>
        </w:rPr>
        <w:t xml:space="preserve">(FR2) </w:t>
      </w:r>
      <w:r>
        <w:rPr>
          <w:lang w:val="en-US" w:eastAsia="ko-KR"/>
        </w:rPr>
        <w:t>such as around 30 GH and/or 63 GHz for the V2I, V2V, V2P links</w:t>
      </w:r>
      <w:r w:rsidR="00285471">
        <w:rPr>
          <w:rFonts w:hint="eastAsia"/>
          <w:lang w:val="en-US" w:eastAsia="ko-KR"/>
        </w:rPr>
        <w:t xml:space="preserve"> </w:t>
      </w:r>
      <w:r w:rsidR="00285471">
        <w:rPr>
          <w:lang w:val="en-US" w:eastAsia="ko-KR"/>
        </w:rPr>
        <w:fldChar w:fldCharType="begin"/>
      </w:r>
      <w:r w:rsidR="00285471">
        <w:rPr>
          <w:lang w:val="en-US" w:eastAsia="ko-KR"/>
        </w:rPr>
        <w:instrText xml:space="preserve"> REF _Ref528617523 \n \h </w:instrText>
      </w:r>
      <w:r w:rsidR="00285471">
        <w:rPr>
          <w:lang w:val="en-US" w:eastAsia="ko-KR"/>
        </w:rPr>
      </w:r>
      <w:r w:rsidR="00285471">
        <w:rPr>
          <w:lang w:val="en-US" w:eastAsia="ko-KR"/>
        </w:rPr>
        <w:fldChar w:fldCharType="separate"/>
      </w:r>
      <w:r w:rsidR="00285471">
        <w:rPr>
          <w:lang w:val="en-US" w:eastAsia="ko-KR"/>
        </w:rPr>
        <w:t>[2]</w:t>
      </w:r>
      <w:r w:rsidR="00285471">
        <w:rPr>
          <w:lang w:val="en-US" w:eastAsia="ko-KR"/>
        </w:rPr>
        <w:fldChar w:fldCharType="end"/>
      </w:r>
      <w:r>
        <w:rPr>
          <w:lang w:val="en-US" w:eastAsia="ko-KR"/>
        </w:rPr>
        <w:t>.</w:t>
      </w:r>
      <w:r w:rsidR="005B002F">
        <w:rPr>
          <w:lang w:val="en-US" w:eastAsia="ko-KR"/>
        </w:rPr>
        <w:t xml:space="preserve"> It is well known that such mmWave signals are prone to blockage. Hence, the NR V2X study will consider vehicle-induced blockage, namely NLOSv as well as LOS cases </w:t>
      </w:r>
      <w:r w:rsidR="005B002F">
        <w:rPr>
          <w:lang w:val="en-US" w:eastAsia="ko-KR"/>
        </w:rPr>
        <w:fldChar w:fldCharType="begin"/>
      </w:r>
      <w:r w:rsidR="005B002F">
        <w:rPr>
          <w:lang w:val="en-US" w:eastAsia="ko-KR"/>
        </w:rPr>
        <w:instrText xml:space="preserve"> REF _Ref521194627 \n \h </w:instrText>
      </w:r>
      <w:r w:rsidR="005B002F">
        <w:rPr>
          <w:lang w:val="en-US" w:eastAsia="ko-KR"/>
        </w:rPr>
      </w:r>
      <w:r w:rsidR="005B002F">
        <w:rPr>
          <w:lang w:val="en-US" w:eastAsia="ko-KR"/>
        </w:rPr>
        <w:fldChar w:fldCharType="separate"/>
      </w:r>
      <w:r w:rsidR="005B002F">
        <w:rPr>
          <w:lang w:val="en-US" w:eastAsia="ko-KR"/>
        </w:rPr>
        <w:t>[3]</w:t>
      </w:r>
      <w:r w:rsidR="005B002F">
        <w:rPr>
          <w:lang w:val="en-US" w:eastAsia="ko-KR"/>
        </w:rPr>
        <w:fldChar w:fldCharType="end"/>
      </w:r>
      <w:r w:rsidR="005B002F">
        <w:rPr>
          <w:lang w:val="en-US" w:eastAsia="ko-KR"/>
        </w:rPr>
        <w:t>.</w:t>
      </w:r>
      <w:r w:rsidR="00A41B7D">
        <w:rPr>
          <w:lang w:val="en-US" w:eastAsia="ko-KR"/>
        </w:rPr>
        <w:t xml:space="preserve"> If a vehicle UE is not able to obtain timing reference from the gNodeB due to such blockage, nearby in-coverage vehicle UEs can assist synchronization by sending sidelink synchronization signals (SLSS) and broadcast channel (SL-BCH) such as PSLSS, SSLSS, and P</w:t>
      </w:r>
      <w:r w:rsidR="00A41B7D">
        <w:rPr>
          <w:rFonts w:hint="eastAsia"/>
          <w:lang w:val="en-US" w:eastAsia="ko-KR"/>
        </w:rPr>
        <w:t>S</w:t>
      </w:r>
      <w:r w:rsidR="00A41B7D">
        <w:rPr>
          <w:lang w:val="en-US" w:eastAsia="ko-KR"/>
        </w:rPr>
        <w:t>BCH. In addition,</w:t>
      </w:r>
      <w:r w:rsidR="00B63F66">
        <w:rPr>
          <w:lang w:val="en-US" w:eastAsia="ko-KR"/>
        </w:rPr>
        <w:t xml:space="preserve"> </w:t>
      </w:r>
      <w:r w:rsidR="008F2CBA">
        <w:rPr>
          <w:lang w:val="en-US" w:eastAsia="ko-KR"/>
        </w:rPr>
        <w:t xml:space="preserve">by reusing </w:t>
      </w:r>
      <w:r w:rsidR="00B63F66">
        <w:rPr>
          <w:lang w:val="en-US" w:eastAsia="ko-KR"/>
        </w:rPr>
        <w:t xml:space="preserve">the NR </w:t>
      </w:r>
      <w:r w:rsidR="008F2CBA">
        <w:rPr>
          <w:lang w:val="en-US" w:eastAsia="ko-KR"/>
        </w:rPr>
        <w:t xml:space="preserve">downlink </w:t>
      </w:r>
      <w:r w:rsidR="00B63F66">
        <w:rPr>
          <w:lang w:val="en-US" w:eastAsia="ko-KR"/>
        </w:rPr>
        <w:t>SSB</w:t>
      </w:r>
      <w:r w:rsidR="00A41B7D">
        <w:rPr>
          <w:lang w:val="en-US" w:eastAsia="ko-KR"/>
        </w:rPr>
        <w:t xml:space="preserve"> </w:t>
      </w:r>
      <w:r w:rsidR="008F2CBA">
        <w:rPr>
          <w:lang w:val="en-US" w:eastAsia="ko-KR"/>
        </w:rPr>
        <w:t xml:space="preserve">(DL-SSB) structure, </w:t>
      </w:r>
      <w:r w:rsidR="00A41B7D">
        <w:rPr>
          <w:lang w:val="en-US" w:eastAsia="ko-KR"/>
        </w:rPr>
        <w:t xml:space="preserve">this synchronization procedure can be involved in multi-beam operation so that the out-of-coverage vehicle UE can select the best beam containing </w:t>
      </w:r>
      <w:r w:rsidR="00B63F66">
        <w:rPr>
          <w:lang w:val="en-US" w:eastAsia="ko-KR"/>
        </w:rPr>
        <w:t>the sidelink synchronization signal block (SL-SSB)</w:t>
      </w:r>
      <w:r w:rsidR="00391EF4">
        <w:rPr>
          <w:rFonts w:hint="eastAsia"/>
          <w:lang w:val="en-US" w:eastAsia="ko-KR"/>
        </w:rPr>
        <w:t xml:space="preserve"> using the periodic SL-SSB transmission structure</w:t>
      </w:r>
      <w:r w:rsidR="00B63F66">
        <w:rPr>
          <w:lang w:val="en-US" w:eastAsia="ko-KR"/>
        </w:rPr>
        <w:t xml:space="preserve">, as seen in </w:t>
      </w:r>
      <w:r w:rsidR="00A23D0E">
        <w:rPr>
          <w:lang w:val="en-US" w:eastAsia="ko-KR"/>
        </w:rPr>
        <w:fldChar w:fldCharType="begin"/>
      </w:r>
      <w:r w:rsidR="00A23D0E">
        <w:rPr>
          <w:lang w:val="en-US" w:eastAsia="ko-KR"/>
        </w:rPr>
        <w:instrText xml:space="preserve"> REF _Ref521197213 \h </w:instrText>
      </w:r>
      <w:r w:rsidR="00A23D0E">
        <w:rPr>
          <w:lang w:val="en-US" w:eastAsia="ko-KR"/>
        </w:rPr>
      </w:r>
      <w:r w:rsidR="00A23D0E">
        <w:rPr>
          <w:lang w:val="en-US" w:eastAsia="ko-KR"/>
        </w:rPr>
        <w:fldChar w:fldCharType="separate"/>
      </w:r>
      <w:r w:rsidR="00A23D0E">
        <w:t xml:space="preserve">Figure </w:t>
      </w:r>
      <w:r w:rsidR="00A23D0E">
        <w:rPr>
          <w:noProof/>
        </w:rPr>
        <w:t>3</w:t>
      </w:r>
      <w:r w:rsidR="00A23D0E">
        <w:rPr>
          <w:lang w:val="en-US" w:eastAsia="ko-KR"/>
        </w:rPr>
        <w:fldChar w:fldCharType="end"/>
      </w:r>
      <w:r w:rsidR="00A41B7D">
        <w:rPr>
          <w:lang w:val="en-US" w:eastAsia="ko-KR"/>
        </w:rPr>
        <w:t xml:space="preserve">. </w:t>
      </w:r>
    </w:p>
    <w:p w14:paraId="780E0D52" w14:textId="1DCDE1F5" w:rsidR="00FF3CAC" w:rsidRDefault="00FF3CAC" w:rsidP="00FF3CAC">
      <w:pPr>
        <w:spacing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391EF4">
        <w:rPr>
          <w:rFonts w:hint="eastAsia"/>
          <w:lang w:eastAsia="ko-KR"/>
        </w:rPr>
        <w:t xml:space="preserve">support periodic SL-SSB structure at least FR2. </w:t>
      </w:r>
    </w:p>
    <w:p w14:paraId="3FF2F74C" w14:textId="77777777" w:rsidR="00A23D0E" w:rsidRDefault="00A23D0E" w:rsidP="00A23D0E">
      <w:pPr>
        <w:keepNext/>
        <w:spacing w:after="180" w:line="336" w:lineRule="auto"/>
      </w:pPr>
      <w:r>
        <w:rPr>
          <w:noProof/>
          <w:lang w:val="en-US" w:eastAsia="ko-KR"/>
        </w:rPr>
        <w:lastRenderedPageBreak/>
        <w:drawing>
          <wp:inline distT="0" distB="0" distL="0" distR="0" wp14:anchorId="148559AB" wp14:editId="4A08B838">
            <wp:extent cx="6332974" cy="2570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676" cy="2578730"/>
                    </a:xfrm>
                    <a:prstGeom prst="rect">
                      <a:avLst/>
                    </a:prstGeom>
                    <a:noFill/>
                  </pic:spPr>
                </pic:pic>
              </a:graphicData>
            </a:graphic>
          </wp:inline>
        </w:drawing>
      </w:r>
    </w:p>
    <w:p w14:paraId="4B3834B6" w14:textId="078EAABE" w:rsidR="00B63F66" w:rsidRDefault="00A23D0E" w:rsidP="00A23D0E">
      <w:pPr>
        <w:pStyle w:val="ad"/>
        <w:jc w:val="center"/>
        <w:rPr>
          <w:lang w:val="en-US" w:eastAsia="ko-KR"/>
        </w:rPr>
      </w:pPr>
      <w:bookmarkStart w:id="1" w:name="_Ref521197213"/>
      <w:r>
        <w:t xml:space="preserve">Figure </w:t>
      </w:r>
      <w:r>
        <w:fldChar w:fldCharType="begin"/>
      </w:r>
      <w:r>
        <w:instrText xml:space="preserve"> SEQ Figure \* ARABIC </w:instrText>
      </w:r>
      <w:r>
        <w:fldChar w:fldCharType="separate"/>
      </w:r>
      <w:r w:rsidR="00CF0A01">
        <w:rPr>
          <w:noProof/>
        </w:rPr>
        <w:t>3</w:t>
      </w:r>
      <w:r>
        <w:fldChar w:fldCharType="end"/>
      </w:r>
      <w:bookmarkEnd w:id="1"/>
      <w:r>
        <w:t>. SS block structure for sidelink synchronization</w:t>
      </w:r>
    </w:p>
    <w:p w14:paraId="22373015" w14:textId="4958D368" w:rsidR="00540225" w:rsidRPr="00FF3CAC" w:rsidRDefault="00FF3CAC" w:rsidP="00A23D0E">
      <w:pPr>
        <w:spacing w:line="336" w:lineRule="auto"/>
        <w:rPr>
          <w:lang w:eastAsia="ko-KR"/>
        </w:rPr>
      </w:pPr>
      <w:r w:rsidRPr="00FF3CAC">
        <w:rPr>
          <w:lang w:eastAsia="ko-KR"/>
        </w:rPr>
        <w:t xml:space="preserve">If </w:t>
      </w:r>
      <w:r>
        <w:rPr>
          <w:lang w:eastAsia="ko-KR"/>
        </w:rPr>
        <w:t xml:space="preserve">SL-SSB is transmitted in addition to DL-SSB in the same cell area, a multiplexing scheme between DL-SSB and SL-SSB </w:t>
      </w:r>
      <w:r w:rsidR="00391EF4">
        <w:rPr>
          <w:rFonts w:hint="eastAsia"/>
          <w:lang w:eastAsia="ko-KR"/>
        </w:rPr>
        <w:t>should be studied</w:t>
      </w:r>
      <w:r>
        <w:rPr>
          <w:lang w:eastAsia="ko-KR"/>
        </w:rPr>
        <w:t xml:space="preserve">. </w:t>
      </w:r>
      <w:r w:rsidR="00391EF4">
        <w:rPr>
          <w:rFonts w:hint="eastAsia"/>
          <w:lang w:eastAsia="ko-KR"/>
        </w:rPr>
        <w:t>Even though the SL-SSB is intended for the out-of-coverage UEs that cannot detect DL-SSB,</w:t>
      </w:r>
      <w:r w:rsidR="005A7286">
        <w:rPr>
          <w:rFonts w:hint="eastAsia"/>
          <w:lang w:eastAsia="ko-KR"/>
        </w:rPr>
        <w:t xml:space="preserve"> the in-coverage UEs will receive both the DL-SSB and SL-SSB due to their </w:t>
      </w:r>
      <w:r w:rsidR="005A7286">
        <w:rPr>
          <w:lang w:eastAsia="ko-KR"/>
        </w:rPr>
        <w:t>broadcast</w:t>
      </w:r>
      <w:r w:rsidR="005A7286">
        <w:rPr>
          <w:rFonts w:hint="eastAsia"/>
          <w:lang w:eastAsia="ko-KR"/>
        </w:rPr>
        <w:t xml:space="preserve"> nature.</w:t>
      </w:r>
      <w:r w:rsidR="00391EF4">
        <w:rPr>
          <w:rFonts w:hint="eastAsia"/>
          <w:lang w:eastAsia="ko-KR"/>
        </w:rPr>
        <w:t xml:space="preserve"> </w:t>
      </w:r>
      <w:r>
        <w:rPr>
          <w:lang w:eastAsia="ko-KR"/>
        </w:rPr>
        <w:t xml:space="preserve">There will be several options, namely time-division multiplexing (TDM), frequency-division multiplexing (FDM), and FDM with time-domain offset (i.e., a combination of TDM and FDM), as seen in </w:t>
      </w:r>
      <w:r>
        <w:rPr>
          <w:lang w:eastAsia="ko-KR"/>
        </w:rPr>
        <w:fldChar w:fldCharType="begin"/>
      </w:r>
      <w:r>
        <w:rPr>
          <w:lang w:eastAsia="ko-KR"/>
        </w:rPr>
        <w:instrText xml:space="preserve"> REF _Ref521198963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w:t>
      </w:r>
      <w:r w:rsidR="001149D0">
        <w:rPr>
          <w:lang w:eastAsia="ko-KR"/>
        </w:rPr>
        <w:t xml:space="preserve">The TDM scheme allows the transmission of SL-SSB at the same frequency resources with DL-SSB. In this case, the UEs only need to search the common frequency region for the downlink and sidelink synchronizations. However, it will not be possible to configure short SSB burst periodicity such as 5 ms, leading to collision between DL-SSB and SL-SSB. The FDM scheme allocates DL-SSB and SL-SSB in the different frequency resources. In this case, the UE need to search both </w:t>
      </w:r>
      <w:r w:rsidR="00682CEB">
        <w:rPr>
          <w:lang w:eastAsia="ko-KR"/>
        </w:rPr>
        <w:t>frequency regions at the same time, making the UE receiver implementation more complex. Another option will be a hybrid of TDM and FDM. The UEs search different frequency regions at the different time.</w:t>
      </w:r>
    </w:p>
    <w:p w14:paraId="797C7221" w14:textId="4CBE0B23" w:rsidR="00CF0A01" w:rsidRDefault="007C5178" w:rsidP="00CF0A01">
      <w:pPr>
        <w:keepNext/>
        <w:spacing w:line="336" w:lineRule="auto"/>
        <w:jc w:val="center"/>
      </w:pPr>
      <w:r>
        <w:object w:dxaOrig="10606" w:dyaOrig="10215" w14:anchorId="5CC5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50.75pt" o:ole="">
            <v:imagedata r:id="rId9" o:title="" croptop="928f" cropbottom="3152f" cropleft="3576f"/>
          </v:shape>
          <o:OLEObject Type="Embed" ProgID="Visio.Drawing.15" ShapeID="_x0000_i1025" DrawAspect="Content" ObjectID="_1602673719" r:id="rId10"/>
        </w:object>
      </w:r>
    </w:p>
    <w:p w14:paraId="010CE794" w14:textId="46831081" w:rsidR="00CF0A01" w:rsidRDefault="00CF0A01" w:rsidP="00CF0A01">
      <w:pPr>
        <w:pStyle w:val="ad"/>
        <w:jc w:val="center"/>
        <w:rPr>
          <w:lang w:eastAsia="ko-KR"/>
        </w:rPr>
      </w:pPr>
      <w:bookmarkStart w:id="2" w:name="_Ref521198963"/>
      <w:r>
        <w:t xml:space="preserve">Figure </w:t>
      </w:r>
      <w:r>
        <w:fldChar w:fldCharType="begin"/>
      </w:r>
      <w:r>
        <w:instrText xml:space="preserve"> SEQ Figure \* ARABIC </w:instrText>
      </w:r>
      <w:r>
        <w:fldChar w:fldCharType="separate"/>
      </w:r>
      <w:r>
        <w:rPr>
          <w:noProof/>
        </w:rPr>
        <w:t>4</w:t>
      </w:r>
      <w:r>
        <w:fldChar w:fldCharType="end"/>
      </w:r>
      <w:bookmarkEnd w:id="2"/>
      <w:r>
        <w:t>. Multiplexing of DL-SSB and SL-SSB: a) TDM; b) FDM; c) FDM with time-domain offset</w:t>
      </w:r>
    </w:p>
    <w:p w14:paraId="5F42962B" w14:textId="28B2FEA2" w:rsidR="00A23D0E" w:rsidRDefault="00A23D0E" w:rsidP="00A23D0E">
      <w:pPr>
        <w:spacing w:line="336" w:lineRule="auto"/>
        <w:rPr>
          <w:lang w:eastAsia="ko-KR"/>
        </w:rPr>
      </w:pPr>
      <w:r>
        <w:rPr>
          <w:b/>
          <w:lang w:eastAsia="ko-KR"/>
        </w:rPr>
        <w:t xml:space="preserve">Proposal </w:t>
      </w:r>
      <w:r w:rsidR="00717984">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FF3CAC">
        <w:rPr>
          <w:lang w:eastAsia="ko-KR"/>
        </w:rPr>
        <w:t>investigate a multiplexing scheme between DL-SSB and SL-SSB, with the following options:</w:t>
      </w:r>
    </w:p>
    <w:p w14:paraId="4A2146C7" w14:textId="45D5BE69" w:rsidR="00A23D0E" w:rsidRDefault="00FF3CAC" w:rsidP="00A23D0E">
      <w:pPr>
        <w:pStyle w:val="afb"/>
        <w:numPr>
          <w:ilvl w:val="1"/>
          <w:numId w:val="16"/>
        </w:numPr>
        <w:spacing w:after="100" w:afterAutospacing="1" w:line="336" w:lineRule="auto"/>
        <w:ind w:leftChars="0" w:left="1202" w:hanging="403"/>
        <w:rPr>
          <w:lang w:eastAsia="ko-KR"/>
        </w:rPr>
      </w:pPr>
      <w:r>
        <w:rPr>
          <w:lang w:eastAsia="ko-KR"/>
        </w:rPr>
        <w:t>TDM</w:t>
      </w:r>
    </w:p>
    <w:p w14:paraId="71DC8940" w14:textId="3CA8C10B" w:rsidR="00A23D0E" w:rsidRDefault="00FF3CAC" w:rsidP="00540225">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31029D49" w14:textId="4F420A05" w:rsidR="00FF3CAC" w:rsidRDefault="00FF3CAC" w:rsidP="00540225">
      <w:pPr>
        <w:pStyle w:val="afb"/>
        <w:numPr>
          <w:ilvl w:val="1"/>
          <w:numId w:val="16"/>
        </w:numPr>
        <w:spacing w:after="100" w:afterAutospacing="1" w:line="336" w:lineRule="auto"/>
        <w:ind w:leftChars="0" w:left="1202" w:hanging="403"/>
        <w:rPr>
          <w:lang w:eastAsia="ko-KR"/>
        </w:rPr>
      </w:pPr>
      <w:r>
        <w:rPr>
          <w:lang w:eastAsia="ko-KR"/>
        </w:rPr>
        <w:t>FDM with time-domain offset</w:t>
      </w:r>
    </w:p>
    <w:p w14:paraId="20AE7D1C" w14:textId="17564094" w:rsidR="00E41290" w:rsidRDefault="00E41290" w:rsidP="00E41290">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 xml:space="preserve">Sidelink SSB </w:t>
      </w:r>
      <w:r>
        <w:rPr>
          <w:lang w:val="en-US" w:eastAsia="ko-KR"/>
        </w:rPr>
        <w:t>waveform</w:t>
      </w:r>
    </w:p>
    <w:p w14:paraId="33873D61" w14:textId="3C4163E0" w:rsidR="005D7EF2" w:rsidRDefault="004820D2" w:rsidP="00E41290">
      <w:pPr>
        <w:spacing w:after="100" w:afterAutospacing="1" w:line="336" w:lineRule="auto"/>
        <w:rPr>
          <w:lang w:eastAsia="ko-KR"/>
        </w:rPr>
      </w:pPr>
      <w:r>
        <w:rPr>
          <w:lang w:eastAsia="ko-KR"/>
        </w:rPr>
        <w:t xml:space="preserve">Basically, NR supports both CP-OFDM and DFT-s-OFDM for the waveform in the uplink. </w:t>
      </w:r>
      <w:r w:rsidR="001B2B2B">
        <w:rPr>
          <w:lang w:eastAsia="ko-KR"/>
        </w:rPr>
        <w:t xml:space="preserve">CP-OFDM is advantageous for achieving high spectral efficiency while DFT-s-OFDM is advantageous for improving power efficiency. </w:t>
      </w:r>
      <w:r>
        <w:rPr>
          <w:lang w:eastAsia="ko-KR"/>
        </w:rPr>
        <w:t xml:space="preserve">However, </w:t>
      </w:r>
      <w:r w:rsidR="001B2B2B">
        <w:rPr>
          <w:lang w:eastAsia="ko-KR"/>
        </w:rPr>
        <w:t xml:space="preserve">supporting both waveforms for the sidelink SSB is not beneficial due to the increased UE </w:t>
      </w:r>
      <w:r w:rsidR="001B2B2B">
        <w:rPr>
          <w:lang w:eastAsia="ko-KR"/>
        </w:rPr>
        <w:lastRenderedPageBreak/>
        <w:t>complexity and latency occurring from the blind detection of the waveform. This problem is particularly significant to V2X applications with tight latency requirements. Hence, regardless of whether other sidelink channels (e.g., PSCCH, PSSCH) supports both waveforms, only single waveform should be supported for the sidelink SSB.</w:t>
      </w:r>
    </w:p>
    <w:p w14:paraId="67B58D84" w14:textId="61E3B8EE" w:rsidR="001B2B2B" w:rsidRDefault="001B2B2B" w:rsidP="001B2B2B">
      <w:pPr>
        <w:spacing w:line="336" w:lineRule="auto"/>
        <w:rPr>
          <w:lang w:eastAsia="ko-KR"/>
        </w:rPr>
      </w:pPr>
      <w:r>
        <w:rPr>
          <w:b/>
          <w:lang w:eastAsia="ko-KR"/>
        </w:rPr>
        <w:t xml:space="preserve">Proposal </w:t>
      </w:r>
      <w:r w:rsidR="0032308B">
        <w:rPr>
          <w:b/>
          <w:lang w:eastAsia="ko-KR"/>
        </w:rPr>
        <w:t>3</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Pr>
          <w:lang w:eastAsia="ko-KR"/>
        </w:rPr>
        <w:t>support only single waveform for the sidelink SSB.</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9CDC1B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NR V2X sidelink synchronization methods with special emphasis on mmWave applications</w:t>
      </w:r>
      <w:r w:rsidR="00FC0FFA">
        <w:rPr>
          <w:szCs w:val="22"/>
          <w:lang w:eastAsia="ko-KR"/>
        </w:rPr>
        <w:t>.</w:t>
      </w:r>
      <w:r w:rsidR="001209CB">
        <w:rPr>
          <w:rFonts w:hint="eastAsia"/>
          <w:szCs w:val="22"/>
          <w:lang w:eastAsia="ko-KR"/>
        </w:rPr>
        <w:t xml:space="preserve"> </w:t>
      </w:r>
      <w:r w:rsidR="000729F4">
        <w:rPr>
          <w:szCs w:val="22"/>
          <w:lang w:eastAsia="ko-KR"/>
        </w:rPr>
        <w:t>Our observations and proposal are reproduced below:</w:t>
      </w:r>
    </w:p>
    <w:p w14:paraId="7CC64EFF" w14:textId="77777777" w:rsidR="00C4157A" w:rsidRDefault="00C4157A" w:rsidP="00C4157A">
      <w:pPr>
        <w:spacing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Pr>
          <w:rFonts w:hint="eastAsia"/>
          <w:lang w:eastAsia="ko-KR"/>
        </w:rPr>
        <w:t xml:space="preserve">support periodic SL-SSB structure at least FR2. </w:t>
      </w:r>
    </w:p>
    <w:p w14:paraId="7B57F741" w14:textId="77777777" w:rsidR="00682CEB" w:rsidRDefault="00682CEB" w:rsidP="00682CEB">
      <w:pPr>
        <w:spacing w:line="336" w:lineRule="auto"/>
        <w:rPr>
          <w:lang w:eastAsia="ko-KR"/>
        </w:rPr>
      </w:pPr>
      <w:r>
        <w:rPr>
          <w:b/>
          <w:lang w:eastAsia="ko-KR"/>
        </w:rPr>
        <w:t>Proposal 2</w:t>
      </w:r>
      <w:r w:rsidRPr="0021114B">
        <w:rPr>
          <w:lang w:eastAsia="ko-KR"/>
        </w:rPr>
        <w:t>:</w:t>
      </w:r>
      <w:r>
        <w:rPr>
          <w:b/>
          <w:lang w:eastAsia="ko-KR"/>
        </w:rPr>
        <w:t xml:space="preserve"> </w:t>
      </w:r>
      <w:r>
        <w:rPr>
          <w:rFonts w:hint="eastAsia"/>
          <w:lang w:eastAsia="ko-KR"/>
        </w:rPr>
        <w:t xml:space="preserve">NR </w:t>
      </w:r>
      <w:r>
        <w:rPr>
          <w:lang w:eastAsia="ko-KR"/>
        </w:rPr>
        <w:t>V2X should investigate a multiplexing scheme between DL-SSB and SL-SSB, with the following options:</w:t>
      </w:r>
      <w:bookmarkStart w:id="3" w:name="_GoBack"/>
      <w:bookmarkEnd w:id="3"/>
    </w:p>
    <w:p w14:paraId="78B56093" w14:textId="77777777" w:rsidR="00682CEB" w:rsidRDefault="00682CEB" w:rsidP="00682CEB">
      <w:pPr>
        <w:pStyle w:val="afb"/>
        <w:numPr>
          <w:ilvl w:val="1"/>
          <w:numId w:val="16"/>
        </w:numPr>
        <w:spacing w:after="100" w:afterAutospacing="1" w:line="336" w:lineRule="auto"/>
        <w:ind w:leftChars="0" w:left="1202" w:hanging="403"/>
        <w:rPr>
          <w:lang w:eastAsia="ko-KR"/>
        </w:rPr>
      </w:pPr>
      <w:r>
        <w:rPr>
          <w:lang w:eastAsia="ko-KR"/>
        </w:rPr>
        <w:t>TDM</w:t>
      </w:r>
    </w:p>
    <w:p w14:paraId="6146D578" w14:textId="77777777" w:rsidR="00682CEB" w:rsidRDefault="00682CEB" w:rsidP="00682CEB">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75785659" w14:textId="531E3CC5" w:rsidR="00682CEB" w:rsidRDefault="00682CEB" w:rsidP="0032308B">
      <w:pPr>
        <w:pStyle w:val="afb"/>
        <w:numPr>
          <w:ilvl w:val="1"/>
          <w:numId w:val="16"/>
        </w:numPr>
        <w:spacing w:after="100" w:afterAutospacing="1" w:line="240" w:lineRule="auto"/>
        <w:ind w:leftChars="0" w:left="1202" w:hanging="403"/>
        <w:rPr>
          <w:lang w:eastAsia="ko-KR"/>
        </w:rPr>
      </w:pPr>
      <w:r>
        <w:rPr>
          <w:lang w:eastAsia="ko-KR"/>
        </w:rPr>
        <w:t>FDM with time-domain offset</w:t>
      </w:r>
    </w:p>
    <w:p w14:paraId="7B6D2C8E" w14:textId="77777777" w:rsidR="0032308B" w:rsidRDefault="0032308B" w:rsidP="0032308B">
      <w:pPr>
        <w:spacing w:line="240" w:lineRule="auto"/>
        <w:rPr>
          <w:lang w:eastAsia="ko-KR"/>
        </w:rPr>
      </w:pPr>
      <w:r>
        <w:rPr>
          <w:b/>
          <w:lang w:eastAsia="ko-KR"/>
        </w:rPr>
        <w:t>Proposal 3</w:t>
      </w:r>
      <w:r w:rsidRPr="0021114B">
        <w:rPr>
          <w:lang w:eastAsia="ko-KR"/>
        </w:rPr>
        <w:t>:</w:t>
      </w:r>
      <w:r>
        <w:rPr>
          <w:b/>
          <w:lang w:eastAsia="ko-KR"/>
        </w:rPr>
        <w:t xml:space="preserve"> </w:t>
      </w:r>
      <w:r>
        <w:rPr>
          <w:rFonts w:hint="eastAsia"/>
          <w:lang w:eastAsia="ko-KR"/>
        </w:rPr>
        <w:t xml:space="preserve">NR </w:t>
      </w:r>
      <w:r>
        <w:rPr>
          <w:lang w:eastAsia="ko-KR"/>
        </w:rPr>
        <w:t>V2X should support only single waveform for the sidelink SSB.</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D88613" w14:textId="5155C4DA" w:rsidR="008E5491" w:rsidRDefault="008E5491" w:rsidP="008E5491">
      <w:pPr>
        <w:numPr>
          <w:ilvl w:val="0"/>
          <w:numId w:val="6"/>
        </w:numPr>
        <w:tabs>
          <w:tab w:val="left" w:pos="810"/>
        </w:tabs>
        <w:spacing w:after="180"/>
        <w:ind w:left="440" w:hangingChars="200" w:hanging="440"/>
        <w:contextualSpacing/>
        <w:rPr>
          <w:lang w:eastAsia="zh-CN"/>
        </w:rPr>
      </w:pPr>
      <w:bookmarkStart w:id="4" w:name="_Ref528616836"/>
      <w:bookmarkStart w:id="5" w:name="_Ref458777829"/>
      <w:bookmarkStart w:id="6" w:name="_Ref447206028"/>
      <w:r>
        <w:rPr>
          <w:rFonts w:hint="eastAsia"/>
          <w:lang w:eastAsia="zh-CN"/>
        </w:rPr>
        <w:t>3GPP Chairman</w:t>
      </w:r>
      <w:r>
        <w:rPr>
          <w:lang w:eastAsia="zh-CN"/>
        </w:rPr>
        <w:t>’s notes RAN1#9</w:t>
      </w:r>
      <w:r>
        <w:rPr>
          <w:rFonts w:hint="eastAsia"/>
          <w:lang w:eastAsia="ko-KR"/>
        </w:rPr>
        <w:t>4,</w:t>
      </w:r>
      <w:r>
        <w:rPr>
          <w:lang w:eastAsia="zh-CN"/>
        </w:rPr>
        <w:t xml:space="preserve"> </w:t>
      </w:r>
      <w:r w:rsidR="00391EF4">
        <w:rPr>
          <w:rFonts w:hint="eastAsia"/>
          <w:lang w:eastAsia="ko-KR"/>
        </w:rPr>
        <w:t>Aug.</w:t>
      </w:r>
      <w:r>
        <w:rPr>
          <w:lang w:eastAsia="zh-CN"/>
        </w:rPr>
        <w:t xml:space="preserve"> 2018.</w:t>
      </w:r>
      <w:bookmarkEnd w:id="4"/>
    </w:p>
    <w:p w14:paraId="585E3122" w14:textId="2A92E453" w:rsidR="00277863" w:rsidRDefault="000F348F" w:rsidP="003D6E0B">
      <w:pPr>
        <w:numPr>
          <w:ilvl w:val="0"/>
          <w:numId w:val="6"/>
        </w:numPr>
        <w:tabs>
          <w:tab w:val="left" w:pos="810"/>
        </w:tabs>
        <w:spacing w:after="180"/>
        <w:ind w:left="440" w:hangingChars="200" w:hanging="440"/>
        <w:contextualSpacing/>
        <w:rPr>
          <w:lang w:eastAsia="zh-CN"/>
        </w:rPr>
      </w:pPr>
      <w:bookmarkStart w:id="7" w:name="_Ref528617523"/>
      <w:r>
        <w:rPr>
          <w:lang w:eastAsia="zh-CN"/>
        </w:rPr>
        <w:t>RP-181429, “</w:t>
      </w:r>
      <w:r>
        <w:rPr>
          <w:rFonts w:hint="eastAsia"/>
          <w:lang w:eastAsia="ko-KR"/>
        </w:rPr>
        <w:t>N</w:t>
      </w:r>
      <w:r>
        <w:rPr>
          <w:lang w:eastAsia="ko-KR"/>
        </w:rPr>
        <w:t>ew SID: Study on NR V2X,</w:t>
      </w:r>
      <w:r>
        <w:rPr>
          <w:lang w:eastAsia="zh-CN"/>
        </w:rPr>
        <w:t>”</w:t>
      </w:r>
      <w:r w:rsidR="00277863">
        <w:rPr>
          <w:lang w:eastAsia="zh-CN"/>
        </w:rPr>
        <w:t xml:space="preserve"> </w:t>
      </w:r>
      <w:r>
        <w:rPr>
          <w:lang w:eastAsia="ko-KR"/>
        </w:rPr>
        <w:t>Jun</w:t>
      </w:r>
      <w:r w:rsidR="006F6307">
        <w:rPr>
          <w:lang w:eastAsia="ko-KR"/>
        </w:rPr>
        <w:t>.</w:t>
      </w:r>
      <w:r>
        <w:rPr>
          <w:lang w:eastAsia="zh-CN"/>
        </w:rPr>
        <w:t xml:space="preserve"> 2018</w:t>
      </w:r>
      <w:r w:rsidR="00277863">
        <w:rPr>
          <w:lang w:eastAsia="zh-CN"/>
        </w:rPr>
        <w:t>.</w:t>
      </w:r>
      <w:bookmarkEnd w:id="7"/>
    </w:p>
    <w:p w14:paraId="1A88F7CA" w14:textId="692B1571" w:rsidR="004D5B78" w:rsidRPr="007B5B25" w:rsidRDefault="007B5B25" w:rsidP="004D5B78">
      <w:pPr>
        <w:numPr>
          <w:ilvl w:val="0"/>
          <w:numId w:val="6"/>
        </w:numPr>
        <w:tabs>
          <w:tab w:val="left" w:pos="810"/>
        </w:tabs>
        <w:spacing w:after="180"/>
        <w:contextualSpacing/>
        <w:rPr>
          <w:lang w:eastAsia="zh-CN"/>
        </w:rPr>
      </w:pPr>
      <w:bookmarkStart w:id="8" w:name="_Ref521194627"/>
      <w:r>
        <w:rPr>
          <w:lang w:eastAsia="zh-CN"/>
        </w:rPr>
        <w:t>3GPP TR 37.885, “</w:t>
      </w:r>
      <w:r w:rsidRPr="007B5B25">
        <w:rPr>
          <w:lang w:eastAsia="zh-CN"/>
        </w:rPr>
        <w:t>Study on evaluation methodology of new Vehicle-to-Everything V2X use cases for LTE and NR</w:t>
      </w:r>
      <w:r>
        <w:rPr>
          <w:lang w:eastAsia="zh-CN"/>
        </w:rPr>
        <w:t>,” V 15.0.0, Jun. 2018.</w:t>
      </w:r>
      <w:bookmarkEnd w:id="5"/>
      <w:bookmarkEnd w:id="6"/>
      <w:bookmarkEnd w:id="8"/>
    </w:p>
    <w:sectPr w:rsidR="004D5B78" w:rsidRPr="007B5B25"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10D98" w14:textId="77777777" w:rsidR="006724EF" w:rsidRDefault="006724EF">
      <w:r>
        <w:separator/>
      </w:r>
    </w:p>
  </w:endnote>
  <w:endnote w:type="continuationSeparator" w:id="0">
    <w:p w14:paraId="5828A3F8" w14:textId="77777777" w:rsidR="006724EF" w:rsidRDefault="0067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3BCBE6D6"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32308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32308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30C64" w14:textId="77777777" w:rsidR="006724EF" w:rsidRDefault="006724EF">
      <w:r>
        <w:separator/>
      </w:r>
    </w:p>
  </w:footnote>
  <w:footnote w:type="continuationSeparator" w:id="0">
    <w:p w14:paraId="6292C23E" w14:textId="77777777" w:rsidR="006724EF" w:rsidRDefault="006724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6"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18"/>
  </w:num>
  <w:num w:numId="5">
    <w:abstractNumId w:val="1"/>
  </w:num>
  <w:num w:numId="6">
    <w:abstractNumId w:val="4"/>
  </w:num>
  <w:num w:numId="7">
    <w:abstractNumId w:val="10"/>
  </w:num>
  <w:num w:numId="8">
    <w:abstractNumId w:val="17"/>
  </w:num>
  <w:num w:numId="9">
    <w:abstractNumId w:val="3"/>
  </w:num>
  <w:num w:numId="10">
    <w:abstractNumId w:val="6"/>
  </w:num>
  <w:num w:numId="11">
    <w:abstractNumId w:val="7"/>
  </w:num>
  <w:num w:numId="12">
    <w:abstractNumId w:val="11"/>
  </w:num>
  <w:num w:numId="13">
    <w:abstractNumId w:val="12"/>
  </w:num>
  <w:num w:numId="14">
    <w:abstractNumId w:val="13"/>
  </w:num>
  <w:num w:numId="15">
    <w:abstractNumId w:val="20"/>
  </w:num>
  <w:num w:numId="16">
    <w:abstractNumId w:val="2"/>
  </w:num>
  <w:num w:numId="17">
    <w:abstractNumId w:val="9"/>
  </w:num>
  <w:num w:numId="18">
    <w:abstractNumId w:val="8"/>
  </w:num>
  <w:num w:numId="19">
    <w:abstractNumId w:val="16"/>
  </w:num>
  <w:num w:numId="20">
    <w:abstractNumId w:val="15"/>
  </w:num>
  <w:num w:numId="2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1104"/>
    <w:rsid w:val="00D1128A"/>
    <w:rsid w:val="00D1284F"/>
    <w:rsid w:val="00D129DB"/>
    <w:rsid w:val="00D12A8B"/>
    <w:rsid w:val="00D12E34"/>
    <w:rsid w:val="00D12EA2"/>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62954-F627-45B6-B54B-D372E3E9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4555</TotalTime>
  <Pages>4</Pages>
  <Words>753</Words>
  <Characters>4295</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197</cp:revision>
  <cp:lastPrinted>2014-05-09T11:56:00Z</cp:lastPrinted>
  <dcterms:created xsi:type="dcterms:W3CDTF">2017-03-22T02:31:00Z</dcterms:created>
  <dcterms:modified xsi:type="dcterms:W3CDTF">2018-11-02T05:19:00Z</dcterms:modified>
  <cp:category/>
</cp:coreProperties>
</file>